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pStyle w:val="Standard"/>
        <w:jc w:val="center"/>
        <w:rPr>
          <w:b/>
          <w:sz w:val="26"/>
          <w:szCs w:val="26"/>
        </w:rPr>
      </w:pPr>
    </w:p>
    <w:p w:rsidR="00A92C72" w:rsidRDefault="00A92C72" w:rsidP="00AA107D">
      <w:pPr>
        <w:pStyle w:val="Standard"/>
        <w:jc w:val="center"/>
        <w:rPr>
          <w:b/>
          <w:sz w:val="26"/>
          <w:szCs w:val="26"/>
        </w:rPr>
      </w:pPr>
    </w:p>
    <w:p w:rsidR="00A92C72" w:rsidRDefault="00A92C72" w:rsidP="00AA107D">
      <w:pPr>
        <w:pStyle w:val="Standard"/>
        <w:jc w:val="center"/>
        <w:rPr>
          <w:b/>
          <w:sz w:val="26"/>
          <w:szCs w:val="26"/>
        </w:rPr>
      </w:pPr>
    </w:p>
    <w:p w:rsidR="00A92C72" w:rsidRDefault="00A92C72"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CE6604">
        <w:rPr>
          <w:b/>
          <w:sz w:val="28"/>
          <w:szCs w:val="28"/>
          <w:lang w:val="ru-RU"/>
        </w:rPr>
        <w:t xml:space="preserve"> №25</w:t>
      </w:r>
    </w:p>
    <w:p w:rsidR="00AA107D" w:rsidRDefault="00AA107D" w:rsidP="00AA107D">
      <w:pPr>
        <w:jc w:val="center"/>
      </w:pPr>
      <w:proofErr w:type="gramStart"/>
      <w:r>
        <w:rPr>
          <w:rFonts w:cs="Times New Roman"/>
          <w:sz w:val="28"/>
          <w:szCs w:val="28"/>
        </w:rPr>
        <w:t>на</w:t>
      </w:r>
      <w:proofErr w:type="gramEnd"/>
      <w:r>
        <w:rPr>
          <w:rFonts w:cs="Times New Roman"/>
          <w:sz w:val="28"/>
          <w:szCs w:val="28"/>
        </w:rPr>
        <w:t xml:space="preserve"> поставку </w:t>
      </w:r>
      <w:r w:rsidR="00085E71">
        <w:rPr>
          <w:rFonts w:cs="Times New Roman"/>
          <w:sz w:val="28"/>
          <w:szCs w:val="28"/>
          <w:lang w:val="ru-RU"/>
        </w:rPr>
        <w:t>ки</w:t>
      </w:r>
      <w:bookmarkStart w:id="0" w:name="_GoBack"/>
      <w:bookmarkEnd w:id="0"/>
      <w:r w:rsidR="00085E71">
        <w:rPr>
          <w:rFonts w:cs="Times New Roman"/>
          <w:sz w:val="28"/>
          <w:szCs w:val="28"/>
          <w:lang w:val="ru-RU"/>
        </w:rPr>
        <w:t>рпича</w:t>
      </w:r>
      <w:r>
        <w:rPr>
          <w:rFonts w:cs="Times New Roman"/>
          <w:bCs/>
          <w:sz w:val="28"/>
          <w:szCs w:val="28"/>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C36444" w:rsidRDefault="00C36444" w:rsidP="00AA107D">
      <w:pPr>
        <w:pStyle w:val="Standard"/>
        <w:jc w:val="center"/>
        <w:rPr>
          <w:b/>
          <w:sz w:val="26"/>
          <w:szCs w:val="26"/>
        </w:rPr>
      </w:pPr>
    </w:p>
    <w:p w:rsidR="00C36444" w:rsidRDefault="00C36444" w:rsidP="00AA107D">
      <w:pPr>
        <w:pStyle w:val="Standard"/>
        <w:jc w:val="center"/>
        <w:rPr>
          <w:b/>
          <w:sz w:val="26"/>
          <w:szCs w:val="26"/>
        </w:rPr>
      </w:pPr>
    </w:p>
    <w:p w:rsidR="00C36444" w:rsidRDefault="00C36444" w:rsidP="00AA107D">
      <w:pPr>
        <w:pStyle w:val="Standard"/>
        <w:jc w:val="center"/>
        <w:rPr>
          <w:b/>
          <w:sz w:val="26"/>
          <w:szCs w:val="26"/>
        </w:rPr>
      </w:pPr>
    </w:p>
    <w:p w:rsidR="00C36444" w:rsidRDefault="00C36444"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085E71">
        <w:rPr>
          <w:b/>
          <w:sz w:val="26"/>
          <w:szCs w:val="26"/>
          <w:lang w:val="ru-RU"/>
        </w:rPr>
        <w:t>кирпича</w:t>
      </w:r>
      <w:r>
        <w:rPr>
          <w:b/>
          <w:sz w:val="26"/>
          <w:szCs w:val="26"/>
          <w:lang w:val="ru-RU"/>
        </w:rPr>
        <w:t xml:space="preserve">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085E71">
        <w:rPr>
          <w:rFonts w:ascii="Times New Roman" w:hAnsi="Times New Roman"/>
          <w:sz w:val="24"/>
          <w:lang w:val="ru-RU"/>
        </w:rPr>
        <w:t>кирпича</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085E71">
        <w:rPr>
          <w:lang w:val="ru-RU"/>
        </w:rPr>
        <w:t>кирпича</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FC03BC">
        <w:rPr>
          <w:lang w:val="ru-RU"/>
        </w:rPr>
        <w:t>18</w:t>
      </w:r>
      <w:r>
        <w:t xml:space="preserve"> </w:t>
      </w:r>
      <w:r w:rsidR="00A92C72">
        <w:rPr>
          <w:lang w:val="ru-RU"/>
        </w:rPr>
        <w:t>августа</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FC03BC">
        <w:rPr>
          <w:lang w:val="ru-RU"/>
        </w:rPr>
        <w:t>18</w:t>
      </w:r>
      <w:r w:rsidR="00A92C72">
        <w:rPr>
          <w:lang w:val="ru-RU"/>
        </w:rPr>
        <w:t xml:space="preserve"> августа</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85E71">
            <w:pPr>
              <w:pStyle w:val="Textbody"/>
              <w:spacing w:after="0"/>
              <w:jc w:val="both"/>
            </w:pPr>
            <w:r>
              <w:rPr>
                <w:lang w:val="ru-RU"/>
              </w:rPr>
              <w:t xml:space="preserve">Поставка </w:t>
            </w:r>
            <w:r w:rsidR="00085E71">
              <w:rPr>
                <w:lang w:val="ru-RU"/>
              </w:rPr>
              <w:t>кирпича</w:t>
            </w:r>
            <w:r>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Срок выполнения:</w:t>
            </w:r>
            <w:r>
              <w:rPr>
                <w:lang w:val="ru-RU"/>
              </w:rPr>
              <w:t xml:space="preserve"> </w:t>
            </w:r>
            <w:r w:rsidR="00A92C72">
              <w:rPr>
                <w:lang w:val="ru-RU"/>
              </w:rPr>
              <w:t>август</w:t>
            </w:r>
            <w:r>
              <w:rPr>
                <w:lang w:val="ru-RU"/>
              </w:rPr>
              <w:t xml:space="preserve"> 2015г.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735F2A" w:rsidP="008869FF">
            <w:pPr>
              <w:pStyle w:val="a9"/>
              <w:spacing w:line="276" w:lineRule="auto"/>
              <w:jc w:val="both"/>
            </w:pPr>
            <w:r>
              <w:rPr>
                <w:b/>
              </w:rPr>
              <w:t>573087,60</w:t>
            </w:r>
            <w:r w:rsidR="00AA107D">
              <w:t xml:space="preserve"> руб. с НДС. Начальная максимальная цена Договора включает в себя расходы на </w:t>
            </w:r>
            <w:r w:rsidR="008869FF">
              <w:t>доставку</w:t>
            </w:r>
            <w:r w:rsidR="00AA107D">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713" w:rsidRDefault="00AA107D" w:rsidP="00040713">
            <w:pPr>
              <w:pStyle w:val="aa"/>
              <w:ind w:left="0"/>
              <w:jc w:val="both"/>
              <w:rPr>
                <w:bCs/>
              </w:rPr>
            </w:pPr>
            <w:r>
              <w:t>Форма оплаты – безналичная.</w:t>
            </w:r>
            <w:r>
              <w:rPr>
                <w:b/>
                <w:sz w:val="28"/>
                <w:szCs w:val="28"/>
              </w:rPr>
              <w:t xml:space="preserve"> </w:t>
            </w:r>
            <w:r w:rsidR="00040713">
              <w:t xml:space="preserve">Оплата товара производится Заказчиком в размере </w:t>
            </w:r>
            <w:r w:rsidR="00040713">
              <w:rPr>
                <w:lang w:val="ru-RU"/>
              </w:rPr>
              <w:t>10</w:t>
            </w:r>
            <w:r w:rsidR="00040713">
              <w:t xml:space="preserve">0% предоплаты, путем перечисления денежных средств на расчетный счет Поставщика в течение </w:t>
            </w:r>
            <w:r w:rsidR="00040713">
              <w:rPr>
                <w:lang w:val="ru-RU"/>
              </w:rPr>
              <w:t>5</w:t>
            </w:r>
            <w:r w:rsidR="00040713">
              <w:t xml:space="preserve"> (</w:t>
            </w:r>
            <w:r w:rsidR="00040713">
              <w:rPr>
                <w:lang w:val="ru-RU"/>
              </w:rPr>
              <w:t>пя</w:t>
            </w:r>
            <w:r w:rsidR="00040713">
              <w:t xml:space="preserve">ти) календарных дней со дня подписания обеими сторонами договора; </w:t>
            </w:r>
          </w:p>
          <w:p w:rsidR="00AA107D" w:rsidRDefault="00AA107D" w:rsidP="00040713">
            <w:pPr>
              <w:pStyle w:val="aa"/>
              <w:ind w:left="0"/>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ED6AC9" w:rsidP="00F145AC">
            <w:pPr>
              <w:pStyle w:val="Standard"/>
              <w:jc w:val="both"/>
              <w:rPr>
                <w:bCs/>
              </w:rPr>
            </w:pPr>
            <w:r>
              <w:rPr>
                <w:bCs/>
              </w:rPr>
              <w:t>8</w:t>
            </w:r>
            <w:r w:rsidR="00AA107D">
              <w:rPr>
                <w:bCs/>
              </w:rPr>
              <w:t>.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ED6AC9" w:rsidP="00F145AC">
            <w:pPr>
              <w:pStyle w:val="Standard"/>
              <w:autoSpaceDE w:val="0"/>
              <w:jc w:val="both"/>
            </w:pPr>
            <w:r>
              <w:rPr>
                <w:rFonts w:eastAsia="Calibri"/>
              </w:rPr>
              <w:t>9</w:t>
            </w:r>
            <w:r w:rsidR="00AA107D">
              <w:rPr>
                <w:rFonts w:eastAsia="Calibri"/>
              </w:rPr>
              <w:t xml:space="preserve">. Справка о наличии у участника размещения заказа производственных мощностей, технологического оборудования </w:t>
            </w:r>
            <w:r w:rsidR="00AA107D">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rsidR="00AA107D">
              <w:t>;</w:t>
            </w:r>
          </w:p>
          <w:p w:rsidR="00AA107D" w:rsidRDefault="00ED6AC9" w:rsidP="00F145AC">
            <w:pPr>
              <w:pStyle w:val="Standard"/>
              <w:jc w:val="both"/>
              <w:rPr>
                <w:bCs/>
              </w:rPr>
            </w:pPr>
            <w:r>
              <w:rPr>
                <w:bCs/>
                <w:lang w:val="ru-RU"/>
              </w:rPr>
              <w:t>10</w:t>
            </w:r>
            <w:r w:rsidR="00AA107D">
              <w:rPr>
                <w:bCs/>
              </w:rPr>
              <w:t>. Копии отзывов по аналогично выполненным работам;</w:t>
            </w:r>
          </w:p>
          <w:p w:rsidR="00AA107D" w:rsidRDefault="00AA107D" w:rsidP="00ED6AC9">
            <w:pPr>
              <w:pStyle w:val="Standard"/>
              <w:jc w:val="both"/>
              <w:rPr>
                <w:bCs/>
              </w:rPr>
            </w:pPr>
            <w:r>
              <w:rPr>
                <w:bCs/>
              </w:rPr>
              <w:t>1</w:t>
            </w:r>
            <w:r w:rsidR="00ED6AC9">
              <w:rPr>
                <w:bCs/>
                <w:lang w:val="ru-RU"/>
              </w:rPr>
              <w:t>1</w:t>
            </w:r>
            <w:r>
              <w:rPr>
                <w:bCs/>
              </w:rPr>
              <w:t>.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FC03BC">
              <w:rPr>
                <w:lang w:val="ru-RU"/>
              </w:rPr>
              <w:t>11</w:t>
            </w:r>
            <w:r>
              <w:rPr>
                <w:lang w:val="ru-RU"/>
              </w:rPr>
              <w:t xml:space="preserve"> </w:t>
            </w:r>
            <w:r w:rsidR="00FC03BC">
              <w:rPr>
                <w:lang w:val="ru-RU"/>
              </w:rPr>
              <w:t>августа</w:t>
            </w:r>
            <w:r>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FC03BC">
              <w:rPr>
                <w:lang w:val="ru-RU"/>
              </w:rPr>
              <w:t>18</w:t>
            </w:r>
            <w:r>
              <w:rPr>
                <w:lang w:val="ru-RU"/>
              </w:rPr>
              <w:t xml:space="preserve"> </w:t>
            </w:r>
            <w:r w:rsidR="00ED6AC9">
              <w:rPr>
                <w:lang w:val="ru-RU"/>
              </w:rPr>
              <w:t>августа</w:t>
            </w:r>
            <w:r>
              <w:rPr>
                <w:lang w:val="ru-RU"/>
              </w:rPr>
              <w:t xml:space="preserve"> 2015 </w:t>
            </w:r>
            <w:proofErr w:type="gramStart"/>
            <w:r>
              <w:rPr>
                <w:lang w:val="ru-RU"/>
              </w:rPr>
              <w:t>г.,</w:t>
            </w:r>
            <w:proofErr w:type="gramEnd"/>
            <w:r>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CE6604"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CE6604"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FC03BC">
              <w:rPr>
                <w:lang w:val="ru-RU"/>
              </w:rPr>
              <w:t>18</w:t>
            </w:r>
            <w:r>
              <w:rPr>
                <w:lang w:val="ru-RU"/>
              </w:rPr>
              <w:t xml:space="preserve"> </w:t>
            </w:r>
            <w:r w:rsidR="00ED6AC9">
              <w:rPr>
                <w:lang w:val="ru-RU"/>
              </w:rPr>
              <w:t>августа</w:t>
            </w:r>
            <w:r>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FC03BC">
            <w:pPr>
              <w:pStyle w:val="Standard"/>
              <w:shd w:val="clear" w:color="auto" w:fill="FFFFFF"/>
              <w:jc w:val="both"/>
            </w:pPr>
            <w:r>
              <w:t xml:space="preserve"> по адресу: 424000, г. Йошкар-Ола, Ленинский проспект, д. 24Г, 3 этаж</w:t>
            </w:r>
            <w:r>
              <w:rPr>
                <w:lang w:val="ru-RU"/>
              </w:rPr>
              <w:t xml:space="preserve">, </w:t>
            </w:r>
            <w:r w:rsidR="00FC03BC">
              <w:rPr>
                <w:lang w:val="ru-RU"/>
              </w:rPr>
              <w:t>18</w:t>
            </w:r>
            <w:r>
              <w:rPr>
                <w:lang w:val="ru-RU"/>
              </w:rPr>
              <w:t xml:space="preserve"> </w:t>
            </w:r>
            <w:r w:rsidR="00ED6AC9">
              <w:rPr>
                <w:lang w:val="ru-RU"/>
              </w:rPr>
              <w:t>ав</w:t>
            </w:r>
            <w:r w:rsidR="00FC03BC">
              <w:rPr>
                <w:lang w:val="ru-RU"/>
              </w:rPr>
              <w:t>г</w:t>
            </w:r>
            <w:r w:rsidR="00ED6AC9">
              <w:rPr>
                <w:lang w:val="ru-RU"/>
              </w:rPr>
              <w:t>уста</w:t>
            </w:r>
            <w:r>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 xml:space="preserve">Заказчик вправе отклонить любое предложение или отклонить все </w:t>
            </w:r>
            <w:r>
              <w:lastRenderedPageBreak/>
              <w:t>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 трубы сатльной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6604"/>
        <w:gridCol w:w="1134"/>
        <w:gridCol w:w="1126"/>
      </w:tblGrid>
      <w:tr w:rsidR="00085E71" w:rsidRPr="00B838A1" w:rsidTr="00085E71">
        <w:trPr>
          <w:cantSplit/>
          <w:trHeight w:val="351"/>
        </w:trPr>
        <w:tc>
          <w:tcPr>
            <w:tcW w:w="396"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№п/п</w:t>
            </w:r>
          </w:p>
        </w:tc>
        <w:tc>
          <w:tcPr>
            <w:tcW w:w="3430"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 xml:space="preserve">Наименование </w:t>
            </w:r>
          </w:p>
        </w:tc>
        <w:tc>
          <w:tcPr>
            <w:tcW w:w="589"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Ед.</w:t>
            </w:r>
          </w:p>
          <w:p w:rsidR="00085E71" w:rsidRPr="00B838A1" w:rsidRDefault="00085E71" w:rsidP="00F145AC">
            <w:pPr>
              <w:jc w:val="center"/>
              <w:rPr>
                <w:b/>
              </w:rPr>
            </w:pPr>
            <w:proofErr w:type="gramStart"/>
            <w:r w:rsidRPr="00B838A1">
              <w:rPr>
                <w:b/>
              </w:rPr>
              <w:t>изм</w:t>
            </w:r>
            <w:proofErr w:type="gramEnd"/>
            <w:r w:rsidRPr="00B838A1">
              <w:rPr>
                <w:b/>
              </w:rPr>
              <w:t>.</w:t>
            </w:r>
          </w:p>
        </w:tc>
        <w:tc>
          <w:tcPr>
            <w:tcW w:w="585"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Кол-во</w:t>
            </w:r>
          </w:p>
        </w:tc>
      </w:tr>
      <w:tr w:rsidR="00085E71" w:rsidRPr="00B838A1" w:rsidTr="00085E71">
        <w:trPr>
          <w:cantSplit/>
          <w:trHeight w:val="351"/>
        </w:trPr>
        <w:tc>
          <w:tcPr>
            <w:tcW w:w="396"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pPr>
            <w:r w:rsidRPr="00B838A1">
              <w:t>1</w:t>
            </w:r>
          </w:p>
        </w:tc>
        <w:tc>
          <w:tcPr>
            <w:tcW w:w="3430" w:type="pct"/>
            <w:tcBorders>
              <w:top w:val="single" w:sz="4" w:space="0" w:color="auto"/>
              <w:left w:val="single" w:sz="4" w:space="0" w:color="auto"/>
              <w:bottom w:val="single" w:sz="4" w:space="0" w:color="auto"/>
              <w:right w:val="single" w:sz="4" w:space="0" w:color="auto"/>
            </w:tcBorders>
            <w:vAlign w:val="center"/>
          </w:tcPr>
          <w:p w:rsidR="00085E71" w:rsidRPr="00DD3CDF" w:rsidRDefault="00085E71" w:rsidP="00280AC7">
            <w:pPr>
              <w:rPr>
                <w:b/>
                <w:lang w:val="ru-RU"/>
              </w:rPr>
            </w:pPr>
            <w:r w:rsidRPr="00DD3CDF">
              <w:rPr>
                <w:b/>
                <w:lang w:val="ru-RU"/>
              </w:rPr>
              <w:t xml:space="preserve">Кирпич </w:t>
            </w:r>
            <w:r w:rsidR="00280AC7" w:rsidRPr="00DD3CDF">
              <w:rPr>
                <w:b/>
                <w:lang w:val="ru-RU"/>
              </w:rPr>
              <w:t>огнеупорный</w:t>
            </w:r>
            <w:r w:rsidRPr="00DD3CDF">
              <w:rPr>
                <w:b/>
                <w:lang w:val="ru-RU"/>
              </w:rPr>
              <w:t xml:space="preserve"> ШБ-8</w:t>
            </w:r>
          </w:p>
          <w:tbl>
            <w:tblPr>
              <w:tblW w:w="10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62"/>
              <w:gridCol w:w="5063"/>
            </w:tblGrid>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Страна производитель</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Россия</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Вид кирпича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Шамотный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Назначение кирпича </w:t>
                  </w:r>
                  <w:r w:rsidRPr="00DD3CDF">
                    <w:rPr>
                      <w:rFonts w:ascii="Arial" w:eastAsia="Times New Roman" w:hAnsi="Arial" w:cs="Arial"/>
                      <w:color w:val="222222"/>
                      <w:kern w:val="0"/>
                      <w:sz w:val="20"/>
                      <w:szCs w:val="20"/>
                      <w:bdr w:val="none" w:sz="0" w:space="0" w:color="auto" w:frame="1"/>
                      <w:lang w:val="ru-RU" w:eastAsia="ru-RU" w:bidi="ar-SA"/>
                    </w:rPr>
                    <w:t> </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Специальный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Вид специального кирпича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Огнеупорный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Цвет</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Желтый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Размер кирпича </w:t>
                  </w:r>
                  <w:r w:rsidRPr="00DD3CDF">
                    <w:rPr>
                      <w:rFonts w:ascii="Arial" w:eastAsia="Times New Roman" w:hAnsi="Arial" w:cs="Arial"/>
                      <w:color w:val="222222"/>
                      <w:kern w:val="0"/>
                      <w:sz w:val="20"/>
                      <w:szCs w:val="20"/>
                      <w:bdr w:val="none" w:sz="0" w:space="0" w:color="auto" w:frame="1"/>
                      <w:lang w:val="ru-RU" w:eastAsia="ru-RU" w:bidi="ar-SA"/>
                    </w:rPr>
                    <w:t> </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Одинарный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Поверхность</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Шероховатая</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Тип кирпича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Полнотелый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Pr>
                      <w:rFonts w:ascii="Arial" w:eastAsia="Times New Roman" w:hAnsi="Arial" w:cs="Arial"/>
                      <w:color w:val="222222"/>
                      <w:kern w:val="0"/>
                      <w:sz w:val="20"/>
                      <w:szCs w:val="20"/>
                      <w:lang w:val="ru-RU" w:eastAsia="ru-RU" w:bidi="ar-SA"/>
                    </w:rPr>
                    <w:t>Дли</w:t>
                  </w:r>
                  <w:r w:rsidRPr="00DD3CDF">
                    <w:rPr>
                      <w:rFonts w:ascii="Arial" w:eastAsia="Times New Roman" w:hAnsi="Arial" w:cs="Arial"/>
                      <w:color w:val="222222"/>
                      <w:kern w:val="0"/>
                      <w:sz w:val="20"/>
                      <w:szCs w:val="20"/>
                      <w:lang w:val="ru-RU" w:eastAsia="ru-RU" w:bidi="ar-SA"/>
                    </w:rPr>
                    <w:t>на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250</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Ширина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124</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Высота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65</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Огнеупорность, не ниже, С</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1650</w:t>
                  </w:r>
                </w:p>
              </w:tc>
            </w:tr>
          </w:tbl>
          <w:p w:rsidR="00FC03BC" w:rsidRPr="00085E71" w:rsidRDefault="00FC03BC" w:rsidP="00280AC7">
            <w:pPr>
              <w:rPr>
                <w:lang w:val="ru-RU"/>
              </w:rPr>
            </w:pPr>
          </w:p>
        </w:tc>
        <w:tc>
          <w:tcPr>
            <w:tcW w:w="589" w:type="pct"/>
            <w:tcBorders>
              <w:top w:val="single" w:sz="4" w:space="0" w:color="auto"/>
              <w:left w:val="single" w:sz="4" w:space="0" w:color="auto"/>
              <w:bottom w:val="single" w:sz="4" w:space="0" w:color="auto"/>
              <w:right w:val="single" w:sz="4" w:space="0" w:color="auto"/>
            </w:tcBorders>
            <w:vAlign w:val="center"/>
          </w:tcPr>
          <w:p w:rsidR="00085E71" w:rsidRPr="00ED6AC9" w:rsidRDefault="00085E71" w:rsidP="00F145AC">
            <w:pPr>
              <w:jc w:val="center"/>
              <w:rPr>
                <w:lang w:val="ru-RU"/>
              </w:rPr>
            </w:pPr>
            <w:r>
              <w:rPr>
                <w:lang w:val="ru-RU"/>
              </w:rPr>
              <w:t>шт.</w:t>
            </w:r>
          </w:p>
        </w:tc>
        <w:tc>
          <w:tcPr>
            <w:tcW w:w="585" w:type="pct"/>
            <w:tcBorders>
              <w:top w:val="single" w:sz="4" w:space="0" w:color="auto"/>
              <w:left w:val="single" w:sz="4" w:space="0" w:color="auto"/>
              <w:bottom w:val="single" w:sz="4" w:space="0" w:color="auto"/>
              <w:right w:val="single" w:sz="4" w:space="0" w:color="auto"/>
            </w:tcBorders>
            <w:vAlign w:val="center"/>
          </w:tcPr>
          <w:p w:rsidR="00085E71" w:rsidRPr="00ED6AC9" w:rsidRDefault="00085E71" w:rsidP="00735F2A">
            <w:pPr>
              <w:ind w:firstLine="30"/>
              <w:jc w:val="center"/>
              <w:rPr>
                <w:rFonts w:ascii="Arial CYR" w:hAnsi="Arial CYR" w:cs="Arial CYR"/>
                <w:sz w:val="20"/>
                <w:szCs w:val="20"/>
                <w:lang w:val="ru-RU"/>
              </w:rPr>
            </w:pPr>
            <w:r>
              <w:rPr>
                <w:rFonts w:ascii="Arial CYR" w:hAnsi="Arial CYR" w:cs="Arial CYR"/>
                <w:sz w:val="20"/>
                <w:szCs w:val="20"/>
                <w:lang w:val="ru-RU"/>
              </w:rPr>
              <w:t>12</w:t>
            </w:r>
            <w:r w:rsidR="00735F2A">
              <w:rPr>
                <w:rFonts w:ascii="Arial CYR" w:hAnsi="Arial CYR" w:cs="Arial CYR"/>
                <w:sz w:val="20"/>
                <w:szCs w:val="20"/>
                <w:lang w:val="ru-RU"/>
              </w:rPr>
              <w:t>771</w:t>
            </w:r>
          </w:p>
        </w:tc>
      </w:tr>
      <w:tr w:rsidR="00085E71" w:rsidRPr="00B838A1" w:rsidTr="00DD3CDF">
        <w:trPr>
          <w:cantSplit/>
          <w:trHeight w:val="5431"/>
        </w:trPr>
        <w:tc>
          <w:tcPr>
            <w:tcW w:w="396" w:type="pct"/>
            <w:tcBorders>
              <w:top w:val="single" w:sz="4" w:space="0" w:color="auto"/>
              <w:left w:val="single" w:sz="4" w:space="0" w:color="auto"/>
              <w:bottom w:val="single" w:sz="4" w:space="0" w:color="auto"/>
              <w:right w:val="single" w:sz="4" w:space="0" w:color="auto"/>
            </w:tcBorders>
            <w:vAlign w:val="center"/>
          </w:tcPr>
          <w:p w:rsidR="00085E71" w:rsidRPr="00AD2E8A" w:rsidRDefault="00085E71" w:rsidP="00F145AC">
            <w:pPr>
              <w:jc w:val="center"/>
              <w:rPr>
                <w:lang w:val="ru-RU"/>
              </w:rPr>
            </w:pPr>
            <w:r>
              <w:rPr>
                <w:lang w:val="ru-RU"/>
              </w:rPr>
              <w:t>2</w:t>
            </w:r>
          </w:p>
        </w:tc>
        <w:tc>
          <w:tcPr>
            <w:tcW w:w="3430" w:type="pct"/>
            <w:tcBorders>
              <w:top w:val="single" w:sz="4" w:space="0" w:color="auto"/>
              <w:left w:val="single" w:sz="4" w:space="0" w:color="auto"/>
              <w:bottom w:val="single" w:sz="4" w:space="0" w:color="auto"/>
              <w:right w:val="single" w:sz="4" w:space="0" w:color="auto"/>
            </w:tcBorders>
            <w:vAlign w:val="center"/>
          </w:tcPr>
          <w:p w:rsidR="00085E71" w:rsidRPr="00DD3CDF" w:rsidRDefault="00280AC7" w:rsidP="00280AC7">
            <w:pPr>
              <w:rPr>
                <w:b/>
                <w:lang w:val="ru-RU"/>
              </w:rPr>
            </w:pPr>
            <w:r w:rsidRPr="00DD3CDF">
              <w:rPr>
                <w:b/>
                <w:lang w:val="ru-RU"/>
              </w:rPr>
              <w:t>Кирпич керамический</w:t>
            </w:r>
            <w:r w:rsidR="00085E71" w:rsidRPr="00DD3CDF">
              <w:rPr>
                <w:b/>
                <w:lang w:val="ru-RU"/>
              </w:rPr>
              <w:t xml:space="preserve"> М-100 </w:t>
            </w:r>
          </w:p>
          <w:tbl>
            <w:tblPr>
              <w:tblW w:w="10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62"/>
              <w:gridCol w:w="5063"/>
            </w:tblGrid>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Страна производитель</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Россия</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Вид кирпича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Керамический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Назначение кирпича </w:t>
                  </w:r>
                  <w:r w:rsidRPr="00DD3CDF">
                    <w:rPr>
                      <w:rFonts w:ascii="Arial" w:eastAsia="Times New Roman" w:hAnsi="Arial" w:cs="Arial"/>
                      <w:color w:val="222222"/>
                      <w:kern w:val="0"/>
                      <w:sz w:val="20"/>
                      <w:szCs w:val="20"/>
                      <w:bdr w:val="none" w:sz="0" w:space="0" w:color="auto" w:frame="1"/>
                      <w:lang w:val="ru-RU" w:eastAsia="ru-RU" w:bidi="ar-SA"/>
                    </w:rPr>
                    <w:t> </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Рядовой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Цвет</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Красный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Размер кирпича </w:t>
                  </w:r>
                  <w:r w:rsidRPr="00DD3CDF">
                    <w:rPr>
                      <w:rFonts w:ascii="Arial" w:eastAsia="Times New Roman" w:hAnsi="Arial" w:cs="Arial"/>
                      <w:color w:val="222222"/>
                      <w:kern w:val="0"/>
                      <w:sz w:val="20"/>
                      <w:szCs w:val="20"/>
                      <w:bdr w:val="none" w:sz="0" w:space="0" w:color="auto" w:frame="1"/>
                      <w:lang w:val="ru-RU" w:eastAsia="ru-RU" w:bidi="ar-SA"/>
                    </w:rPr>
                    <w:t> </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Одинарный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Поверхность</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Рифленая</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Тип кирпича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Полнотелый</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Марка кирпича </w:t>
                  </w:r>
                  <w:r w:rsidRPr="00DD3CDF">
                    <w:rPr>
                      <w:rFonts w:ascii="Arial" w:eastAsia="Times New Roman" w:hAnsi="Arial" w:cs="Arial"/>
                      <w:color w:val="222222"/>
                      <w:kern w:val="0"/>
                      <w:sz w:val="20"/>
                      <w:szCs w:val="20"/>
                      <w:bdr w:val="none" w:sz="0" w:space="0" w:color="auto" w:frame="1"/>
                      <w:lang w:val="ru-RU" w:eastAsia="ru-RU" w:bidi="ar-SA"/>
                    </w:rPr>
                    <w:t> </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М-100</w:t>
                  </w:r>
                </w:p>
              </w:tc>
            </w:tr>
            <w:tr w:rsidR="00DD3CDF" w:rsidRPr="00DD3CDF" w:rsidTr="00DD3CDF">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Морозостойкость </w:t>
                  </w:r>
                  <w:r w:rsidRPr="00DD3CDF">
                    <w:rPr>
                      <w:rFonts w:ascii="Arial" w:eastAsia="Times New Roman" w:hAnsi="Arial" w:cs="Arial"/>
                      <w:color w:val="222222"/>
                      <w:kern w:val="0"/>
                      <w:sz w:val="20"/>
                      <w:szCs w:val="20"/>
                      <w:bdr w:val="none" w:sz="0" w:space="0" w:color="auto" w:frame="1"/>
                      <w:lang w:val="ru-RU" w:eastAsia="ru-RU" w:bidi="ar-SA"/>
                    </w:rPr>
                    <w:t> </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F25</w:t>
                  </w:r>
                </w:p>
              </w:tc>
            </w:tr>
            <w:tr w:rsidR="00DD3CDF" w:rsidRPr="00DD3CDF" w:rsidTr="005E251D">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Pr>
                      <w:rFonts w:ascii="Arial" w:eastAsia="Times New Roman" w:hAnsi="Arial" w:cs="Arial"/>
                      <w:color w:val="222222"/>
                      <w:kern w:val="0"/>
                      <w:sz w:val="20"/>
                      <w:szCs w:val="20"/>
                      <w:lang w:val="ru-RU" w:eastAsia="ru-RU" w:bidi="ar-SA"/>
                    </w:rPr>
                    <w:t>Дли</w:t>
                  </w:r>
                  <w:r w:rsidRPr="00DD3CDF">
                    <w:rPr>
                      <w:rFonts w:ascii="Arial" w:eastAsia="Times New Roman" w:hAnsi="Arial" w:cs="Arial"/>
                      <w:color w:val="222222"/>
                      <w:kern w:val="0"/>
                      <w:sz w:val="20"/>
                      <w:szCs w:val="20"/>
                      <w:lang w:val="ru-RU" w:eastAsia="ru-RU" w:bidi="ar-SA"/>
                    </w:rPr>
                    <w:t>на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250</w:t>
                  </w:r>
                </w:p>
              </w:tc>
            </w:tr>
            <w:tr w:rsidR="00DD3CDF" w:rsidRPr="00DD3CDF" w:rsidTr="005E251D">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Ширина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Pr>
                      <w:rFonts w:ascii="Arial" w:eastAsia="Times New Roman" w:hAnsi="Arial" w:cs="Arial"/>
                      <w:color w:val="222222"/>
                      <w:kern w:val="0"/>
                      <w:sz w:val="20"/>
                      <w:szCs w:val="20"/>
                      <w:lang w:val="ru-RU" w:eastAsia="ru-RU" w:bidi="ar-SA"/>
                    </w:rPr>
                    <w:t>125</w:t>
                  </w:r>
                </w:p>
              </w:tc>
            </w:tr>
            <w:tr w:rsidR="00DD3CDF" w:rsidRPr="00DD3CDF" w:rsidTr="005E251D">
              <w:tc>
                <w:tcPr>
                  <w:tcW w:w="5062" w:type="dxa"/>
                  <w:tcBorders>
                    <w:top w:val="single" w:sz="6" w:space="0" w:color="B0B0B0"/>
                    <w:left w:val="single" w:sz="2" w:space="0" w:color="B0B0B0"/>
                    <w:bottom w:val="single" w:sz="6" w:space="0" w:color="B0B0B0"/>
                    <w:right w:val="dashed" w:sz="6"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Высота</w:t>
                  </w:r>
                </w:p>
              </w:tc>
              <w:tc>
                <w:tcPr>
                  <w:tcW w:w="5063" w:type="dxa"/>
                  <w:tcBorders>
                    <w:top w:val="single" w:sz="6" w:space="0" w:color="B0B0B0"/>
                    <w:left w:val="single" w:sz="2" w:space="0" w:color="B0B0B0"/>
                    <w:bottom w:val="single" w:sz="6" w:space="0" w:color="B0B0B0"/>
                    <w:right w:val="single" w:sz="2" w:space="0" w:color="B0B0B0"/>
                  </w:tcBorders>
                  <w:shd w:val="clear" w:color="auto" w:fill="FFFFFF"/>
                  <w:tcMar>
                    <w:top w:w="75" w:type="dxa"/>
                    <w:left w:w="105" w:type="dxa"/>
                    <w:bottom w:w="75" w:type="dxa"/>
                    <w:right w:w="105" w:type="dxa"/>
                  </w:tcMar>
                  <w:vAlign w:val="center"/>
                  <w:hideMark/>
                </w:tcPr>
                <w:p w:rsidR="00DD3CDF" w:rsidRPr="00DD3CDF" w:rsidRDefault="00DD3CDF" w:rsidP="00DD3CDF">
                  <w:pPr>
                    <w:widowControl/>
                    <w:suppressAutoHyphens w:val="0"/>
                    <w:autoSpaceDN/>
                    <w:spacing w:line="220" w:lineRule="atLeast"/>
                    <w:textAlignment w:val="auto"/>
                    <w:rPr>
                      <w:rFonts w:ascii="Arial" w:eastAsia="Times New Roman" w:hAnsi="Arial" w:cs="Arial"/>
                      <w:color w:val="222222"/>
                      <w:kern w:val="0"/>
                      <w:sz w:val="20"/>
                      <w:szCs w:val="20"/>
                      <w:lang w:val="ru-RU" w:eastAsia="ru-RU" w:bidi="ar-SA"/>
                    </w:rPr>
                  </w:pPr>
                  <w:r w:rsidRPr="00DD3CDF">
                    <w:rPr>
                      <w:rFonts w:ascii="Arial" w:eastAsia="Times New Roman" w:hAnsi="Arial" w:cs="Arial"/>
                      <w:color w:val="222222"/>
                      <w:kern w:val="0"/>
                      <w:sz w:val="20"/>
                      <w:szCs w:val="20"/>
                      <w:lang w:val="ru-RU" w:eastAsia="ru-RU" w:bidi="ar-SA"/>
                    </w:rPr>
                    <w:t>65</w:t>
                  </w:r>
                </w:p>
              </w:tc>
            </w:tr>
          </w:tbl>
          <w:p w:rsidR="00DD3CDF" w:rsidRPr="00085E71" w:rsidRDefault="00DD3CDF" w:rsidP="00280AC7">
            <w:pPr>
              <w:rPr>
                <w:lang w:val="ru-RU"/>
              </w:rPr>
            </w:pPr>
          </w:p>
        </w:tc>
        <w:tc>
          <w:tcPr>
            <w:tcW w:w="589"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pPr>
            <w:r>
              <w:rPr>
                <w:lang w:val="ru-RU"/>
              </w:rPr>
              <w:t>шт.</w:t>
            </w:r>
          </w:p>
        </w:tc>
        <w:tc>
          <w:tcPr>
            <w:tcW w:w="585" w:type="pct"/>
            <w:tcBorders>
              <w:top w:val="single" w:sz="4" w:space="0" w:color="auto"/>
              <w:left w:val="single" w:sz="4" w:space="0" w:color="auto"/>
              <w:bottom w:val="single" w:sz="4" w:space="0" w:color="auto"/>
              <w:right w:val="single" w:sz="4" w:space="0" w:color="auto"/>
            </w:tcBorders>
            <w:vAlign w:val="center"/>
          </w:tcPr>
          <w:p w:rsidR="00085E71" w:rsidRPr="00ED6AC9" w:rsidRDefault="00085E71" w:rsidP="00735F2A">
            <w:pPr>
              <w:ind w:firstLine="30"/>
              <w:jc w:val="center"/>
              <w:rPr>
                <w:rFonts w:ascii="Arial CYR" w:hAnsi="Arial CYR" w:cs="Arial CYR"/>
                <w:sz w:val="20"/>
                <w:szCs w:val="20"/>
                <w:lang w:val="ru-RU"/>
              </w:rPr>
            </w:pPr>
            <w:r>
              <w:rPr>
                <w:rFonts w:ascii="Arial CYR" w:hAnsi="Arial CYR" w:cs="Arial CYR"/>
                <w:sz w:val="20"/>
                <w:szCs w:val="20"/>
                <w:lang w:val="ru-RU"/>
              </w:rPr>
              <w:t>35</w:t>
            </w:r>
            <w:r w:rsidR="00735F2A">
              <w:rPr>
                <w:rFonts w:ascii="Arial CYR" w:hAnsi="Arial CYR" w:cs="Arial CYR"/>
                <w:sz w:val="20"/>
                <w:szCs w:val="20"/>
                <w:lang w:val="ru-RU"/>
              </w:rPr>
              <w:t>28</w:t>
            </w:r>
          </w:p>
        </w:tc>
      </w:tr>
    </w:tbl>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lastRenderedPageBreak/>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AD2E8A">
        <w:rPr>
          <w:rFonts w:eastAsia="Calibri" w:cs="Times New Roman"/>
          <w:b/>
          <w:bCs/>
          <w:kern w:val="0"/>
          <w:lang w:val="ru-RU" w:eastAsia="ar-SA" w:bidi="ar-SA"/>
        </w:rPr>
        <w:t>август</w:t>
      </w:r>
      <w:r>
        <w:rPr>
          <w:rFonts w:eastAsia="Calibri" w:cs="Times New Roman"/>
          <w:b/>
          <w:bCs/>
          <w:kern w:val="0"/>
          <w:lang w:val="ru-RU" w:eastAsia="ar-SA" w:bidi="ar-SA"/>
        </w:rPr>
        <w:t xml:space="preserve"> 2015г.</w:t>
      </w:r>
      <w:r>
        <w:rPr>
          <w:rFonts w:eastAsia="Calibri" w:cs="Times New Roman"/>
          <w:bCs/>
          <w:kern w:val="0"/>
          <w:lang w:val="ru-RU" w:eastAsia="ar-SA" w:bidi="ar-SA"/>
        </w:rPr>
        <w:t xml:space="preserve"> </w:t>
      </w:r>
    </w:p>
    <w:p w:rsidR="00040713" w:rsidRDefault="00AA107D" w:rsidP="00040713">
      <w:pPr>
        <w:pStyle w:val="aa"/>
        <w:ind w:left="0"/>
        <w:jc w:val="both"/>
        <w:rPr>
          <w:bCs/>
        </w:rPr>
      </w:pPr>
      <w:r>
        <w:rPr>
          <w:rFonts w:eastAsia="Calibri" w:cs="Times New Roman"/>
          <w:kern w:val="0"/>
          <w:lang w:val="ru-RU" w:eastAsia="ar-SA" w:bidi="ar-SA"/>
        </w:rPr>
        <w:t xml:space="preserve">3.2.6. </w:t>
      </w:r>
      <w:r w:rsidR="00040713">
        <w:t xml:space="preserve">Оплата товара производится Заказчиком в размере </w:t>
      </w:r>
      <w:r w:rsidR="00040713">
        <w:rPr>
          <w:lang w:val="ru-RU"/>
        </w:rPr>
        <w:t>10</w:t>
      </w:r>
      <w:r w:rsidR="00040713">
        <w:t xml:space="preserve">0% предоплаты, путем перечисления денежных средств на расчетный счет Поставщика в течение </w:t>
      </w:r>
      <w:r w:rsidR="00040713">
        <w:rPr>
          <w:lang w:val="ru-RU"/>
        </w:rPr>
        <w:t>5</w:t>
      </w:r>
      <w:r w:rsidR="00040713">
        <w:t xml:space="preserve"> (</w:t>
      </w:r>
      <w:r w:rsidR="00040713">
        <w:rPr>
          <w:lang w:val="ru-RU"/>
        </w:rPr>
        <w:t>пя</w:t>
      </w:r>
      <w:r w:rsidR="00040713">
        <w:t xml:space="preserve">ти) календарных дней со дня подписания обеими сторонами договора; </w:t>
      </w:r>
    </w:p>
    <w:p w:rsidR="00AA107D" w:rsidRPr="00040713" w:rsidRDefault="00AA107D" w:rsidP="00AA107D">
      <w:pPr>
        <w:widowControl/>
        <w:jc w:val="both"/>
        <w:textAlignment w:val="auto"/>
        <w:rPr>
          <w:rFonts w:eastAsia="Calibri" w:cs="Times New Roman"/>
          <w:bCs/>
          <w:kern w:val="0"/>
          <w:lang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735F2A">
        <w:rPr>
          <w:b/>
        </w:rPr>
        <w:t>573087,60</w:t>
      </w:r>
      <w:r>
        <w:rPr>
          <w:rFonts w:eastAsia="Calibri" w:cs="Times New Roman"/>
          <w:b/>
          <w:kern w:val="0"/>
          <w:lang w:val="ru-RU" w:eastAsia="ar-SA" w:bidi="ar-SA"/>
        </w:rPr>
        <w:t xml:space="preserve"> </w:t>
      </w:r>
      <w:r>
        <w:rPr>
          <w:rFonts w:eastAsia="Calibri" w:cs="Times New Roman"/>
          <w:b/>
          <w:bCs/>
          <w:kern w:val="0"/>
          <w:lang w:val="ru-RU" w:eastAsia="ar-SA" w:bidi="ar-SA"/>
        </w:rPr>
        <w:t>(</w:t>
      </w:r>
      <w:r w:rsidR="00735F2A">
        <w:rPr>
          <w:rFonts w:eastAsia="Calibri" w:cs="Times New Roman"/>
          <w:b/>
          <w:bCs/>
          <w:kern w:val="0"/>
          <w:lang w:val="ru-RU" w:eastAsia="ar-SA" w:bidi="ar-SA"/>
        </w:rPr>
        <w:t>Пятьсот семьдесят три тысячи восемьдесят семь</w:t>
      </w:r>
      <w:r>
        <w:rPr>
          <w:rFonts w:eastAsia="Calibri" w:cs="Times New Roman"/>
          <w:b/>
          <w:bCs/>
          <w:kern w:val="0"/>
          <w:lang w:val="ru-RU" w:eastAsia="ar-SA" w:bidi="ar-SA"/>
        </w:rPr>
        <w:t xml:space="preserve">) рублей </w:t>
      </w:r>
      <w:r w:rsidR="00735F2A">
        <w:rPr>
          <w:rFonts w:eastAsia="Calibri" w:cs="Times New Roman"/>
          <w:b/>
          <w:bCs/>
          <w:kern w:val="0"/>
          <w:lang w:val="ru-RU" w:eastAsia="ar-SA" w:bidi="ar-SA"/>
        </w:rPr>
        <w:t>6</w:t>
      </w:r>
      <w:r w:rsidR="003171BD">
        <w:rPr>
          <w:rFonts w:eastAsia="Calibri" w:cs="Times New Roman"/>
          <w:b/>
          <w:bCs/>
          <w:kern w:val="0"/>
          <w:lang w:val="ru-RU" w:eastAsia="ar-SA" w:bidi="ar-SA"/>
        </w:rPr>
        <w:t>0</w:t>
      </w:r>
      <w:r>
        <w:rPr>
          <w:rFonts w:eastAsia="Calibri" w:cs="Times New Roman"/>
          <w:b/>
          <w:bCs/>
          <w:kern w:val="0"/>
          <w:lang w:val="ru-RU" w:eastAsia="ar-SA" w:bidi="ar-SA"/>
        </w:rPr>
        <w:t xml:space="preserve"> копе</w:t>
      </w:r>
      <w:r w:rsidR="003171BD">
        <w:rPr>
          <w:rFonts w:eastAsia="Calibri" w:cs="Times New Roman"/>
          <w:b/>
          <w:bCs/>
          <w:kern w:val="0"/>
          <w:lang w:val="ru-RU" w:eastAsia="ar-SA" w:bidi="ar-SA"/>
        </w:rPr>
        <w:t>ек</w:t>
      </w:r>
      <w:r>
        <w:rPr>
          <w:rFonts w:eastAsia="Calibri" w:cs="Times New Roman"/>
          <w:b/>
          <w:bCs/>
          <w:kern w:val="0"/>
          <w:lang w:val="ru-RU" w:eastAsia="ar-SA" w:bidi="ar-SA"/>
        </w:rPr>
        <w:t xml:space="preserve">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280AC7" w:rsidRDefault="00280AC7" w:rsidP="00AA107D">
      <w:pPr>
        <w:pStyle w:val="Standard"/>
        <w:spacing w:line="360" w:lineRule="auto"/>
        <w:rPr>
          <w:lang w:val="ru-RU"/>
        </w:rPr>
      </w:pPr>
    </w:p>
    <w:p w:rsidR="00280AC7" w:rsidRDefault="00280AC7"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040713" w:rsidRDefault="00040713" w:rsidP="00AA107D">
      <w:pPr>
        <w:pStyle w:val="Standard"/>
        <w:spacing w:line="360" w:lineRule="auto"/>
        <w:rPr>
          <w:lang w:val="ru-RU"/>
        </w:rPr>
      </w:pPr>
    </w:p>
    <w:p w:rsidR="00AA107D" w:rsidRDefault="00AA107D" w:rsidP="00AA107D">
      <w:pPr>
        <w:pStyle w:val="Standard"/>
        <w:spacing w:line="360" w:lineRule="auto"/>
        <w:rPr>
          <w:lang w:val="ru-RU"/>
        </w:rPr>
      </w:pPr>
    </w:p>
    <w:p w:rsidR="00040713" w:rsidRDefault="00040713"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lastRenderedPageBreak/>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lastRenderedPageBreak/>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040713">
        <w:rPr>
          <w:lang w:val="ru-RU"/>
        </w:rPr>
        <w:t>август</w:t>
      </w:r>
      <w:r>
        <w:t xml:space="preserve"> 201</w:t>
      </w:r>
      <w:r>
        <w:rPr>
          <w:lang w:val="ru-RU"/>
        </w:rPr>
        <w:t>5</w:t>
      </w:r>
      <w:r>
        <w:t>г.</w:t>
      </w:r>
    </w:p>
    <w:p w:rsidR="00AA107D" w:rsidRDefault="00AA107D" w:rsidP="00AA107D">
      <w:pPr>
        <w:pStyle w:val="Standard"/>
        <w:jc w:val="both"/>
      </w:pPr>
      <w:r>
        <w:t xml:space="preserve">Гарантийный срок: </w:t>
      </w:r>
      <w:r w:rsidR="00040713">
        <w:rPr>
          <w:lang w:val="ru-RU"/>
        </w:rPr>
        <w:t>12</w:t>
      </w:r>
      <w:r>
        <w:t xml:space="preserve"> месяцев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0F2657">
        <w:rPr>
          <w:rFonts w:ascii="Times New Roman" w:hAnsi="Times New Roman" w:cs="Times New Roman"/>
          <w:sz w:val="24"/>
          <w:szCs w:val="24"/>
        </w:rPr>
        <w:t>ДОГОВОР №___</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__________</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И.Г.</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A44920">
        <w:rPr>
          <w:rFonts w:ascii="Times New Roman" w:hAnsi="Times New Roman" w:cs="Times New Roman"/>
          <w:sz w:val="24"/>
          <w:szCs w:val="24"/>
        </w:rPr>
        <w:t>кирпич</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2. ПРАВА И ОБЯЗАННОСТИ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255E40">
        <w:rPr>
          <w:rFonts w:ascii="Times New Roman" w:hAnsi="Times New Roman" w:cs="Times New Roman"/>
          <w:sz w:val="24"/>
          <w:szCs w:val="24"/>
        </w:rPr>
        <w:t>20</w:t>
      </w:r>
      <w:r>
        <w:rPr>
          <w:rFonts w:ascii="Times New Roman" w:hAnsi="Times New Roman" w:cs="Times New Roman"/>
          <w:sz w:val="24"/>
          <w:szCs w:val="24"/>
        </w:rPr>
        <w:t xml:space="preserve"> </w:t>
      </w:r>
      <w:r w:rsidR="00255E40">
        <w:rPr>
          <w:rFonts w:ascii="Times New Roman" w:hAnsi="Times New Roman" w:cs="Times New Roman"/>
          <w:sz w:val="24"/>
          <w:szCs w:val="24"/>
        </w:rPr>
        <w:t>августа</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____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40713" w:rsidRDefault="000F2657" w:rsidP="00040713">
      <w:pPr>
        <w:pStyle w:val="aa"/>
        <w:ind w:left="0"/>
        <w:jc w:val="both"/>
        <w:rPr>
          <w:bCs/>
        </w:rPr>
      </w:pPr>
      <w:r w:rsidRPr="004A792D">
        <w:rPr>
          <w:rFonts w:cs="Times New Roman"/>
        </w:rPr>
        <w:t xml:space="preserve">3.2. </w:t>
      </w:r>
      <w:r w:rsidRPr="00D52967">
        <w:rPr>
          <w:rFonts w:cs="Times New Roman"/>
        </w:rPr>
        <w:t>Форма оплаты – безналичная.</w:t>
      </w:r>
      <w:r w:rsidRPr="00D52967">
        <w:rPr>
          <w:rFonts w:cs="Times New Roman"/>
          <w:b/>
        </w:rPr>
        <w:t xml:space="preserve"> </w:t>
      </w:r>
      <w:r w:rsidR="00040713">
        <w:t xml:space="preserve">Оплата товара производится Заказчиком в размере </w:t>
      </w:r>
      <w:r w:rsidR="00040713">
        <w:rPr>
          <w:lang w:val="ru-RU"/>
        </w:rPr>
        <w:t>10</w:t>
      </w:r>
      <w:r w:rsidR="00040713">
        <w:t xml:space="preserve">0% предоплаты, путем перечисления денежных средств на расчетный счет Поставщика в течение </w:t>
      </w:r>
      <w:r w:rsidR="00040713">
        <w:rPr>
          <w:lang w:val="ru-RU"/>
        </w:rPr>
        <w:t>5</w:t>
      </w:r>
      <w:r w:rsidR="00040713">
        <w:t xml:space="preserve"> (</w:t>
      </w:r>
      <w:r w:rsidR="00040713">
        <w:rPr>
          <w:lang w:val="ru-RU"/>
        </w:rPr>
        <w:t>пя</w:t>
      </w:r>
      <w:r w:rsidR="00040713">
        <w:t xml:space="preserve">ти) календарных дней со дня подписания обеими сторонами договора; </w:t>
      </w:r>
    </w:p>
    <w:p w:rsidR="000F2657" w:rsidRPr="00040713" w:rsidRDefault="000F2657" w:rsidP="000F2657">
      <w:pPr>
        <w:pStyle w:val="ConsPlusNonformat"/>
        <w:widowControl/>
        <w:ind w:firstLine="567"/>
        <w:jc w:val="both"/>
        <w:rPr>
          <w:rFonts w:ascii="Times New Roman" w:hAnsi="Times New Roman" w:cs="Times New Roman"/>
          <w:sz w:val="24"/>
          <w:szCs w:val="24"/>
          <w:lang w:val="de-DE"/>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w:t>
            </w:r>
            <w:r w:rsidR="00255E40">
              <w:rPr>
                <w:lang w:val="ru-RU"/>
              </w:rPr>
              <w:t xml:space="preserve"> </w:t>
            </w:r>
            <w:r>
              <w:t>/</w:t>
            </w:r>
            <w:r w:rsidR="00255E40">
              <w:rPr>
                <w:lang w:val="ru-RU"/>
              </w:rPr>
              <w:t xml:space="preserve"> </w:t>
            </w:r>
            <w:r>
              <w:t>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355"/>
        <w:gridCol w:w="992"/>
        <w:gridCol w:w="853"/>
        <w:gridCol w:w="1419"/>
        <w:gridCol w:w="1406"/>
      </w:tblGrid>
      <w:tr w:rsidR="006E315D" w:rsidRPr="00B706FB" w:rsidTr="00907FF0">
        <w:trPr>
          <w:cantSplit/>
          <w:trHeight w:val="351"/>
        </w:trPr>
        <w:tc>
          <w:tcPr>
            <w:tcW w:w="31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737"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A44920"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A44920" w:rsidRPr="00E00059" w:rsidRDefault="00A44920" w:rsidP="00A44920">
            <w:pPr>
              <w:jc w:val="center"/>
              <w:rPr>
                <w:sz w:val="20"/>
                <w:szCs w:val="20"/>
                <w:lang w:val="ru-RU"/>
              </w:rPr>
            </w:pPr>
            <w:r>
              <w:rPr>
                <w:sz w:val="20"/>
                <w:szCs w:val="20"/>
                <w:lang w:val="ru-RU"/>
              </w:rPr>
              <w:t>1</w:t>
            </w:r>
          </w:p>
        </w:tc>
        <w:tc>
          <w:tcPr>
            <w:tcW w:w="2262" w:type="pct"/>
            <w:tcBorders>
              <w:top w:val="single" w:sz="4" w:space="0" w:color="auto"/>
              <w:left w:val="single" w:sz="4" w:space="0" w:color="auto"/>
              <w:bottom w:val="single" w:sz="4" w:space="0" w:color="auto"/>
              <w:right w:val="single" w:sz="4" w:space="0" w:color="auto"/>
            </w:tcBorders>
            <w:vAlign w:val="center"/>
          </w:tcPr>
          <w:p w:rsidR="00A44920" w:rsidRPr="00085E71" w:rsidRDefault="00A44920" w:rsidP="00A44920">
            <w:pPr>
              <w:rPr>
                <w:lang w:val="ru-RU"/>
              </w:rPr>
            </w:pPr>
            <w:r>
              <w:rPr>
                <w:lang w:val="ru-RU"/>
              </w:rPr>
              <w:t>Кирпич огнеупорный ШБ-8</w:t>
            </w:r>
          </w:p>
        </w:tc>
        <w:tc>
          <w:tcPr>
            <w:tcW w:w="515" w:type="pct"/>
            <w:tcBorders>
              <w:top w:val="single" w:sz="4" w:space="0" w:color="auto"/>
              <w:left w:val="single" w:sz="4" w:space="0" w:color="auto"/>
              <w:bottom w:val="single" w:sz="4" w:space="0" w:color="auto"/>
              <w:right w:val="single" w:sz="4" w:space="0" w:color="auto"/>
            </w:tcBorders>
            <w:vAlign w:val="center"/>
          </w:tcPr>
          <w:p w:rsidR="00A44920" w:rsidRPr="00E00059" w:rsidRDefault="00A44920" w:rsidP="00A44920">
            <w:pPr>
              <w:jc w:val="center"/>
              <w:rPr>
                <w:sz w:val="20"/>
                <w:szCs w:val="20"/>
                <w:lang w:val="ru-RU"/>
              </w:rPr>
            </w:pPr>
            <w:r>
              <w:rPr>
                <w:sz w:val="20"/>
                <w:szCs w:val="20"/>
                <w:lang w:val="ru-RU"/>
              </w:rPr>
              <w:t>шт.</w:t>
            </w:r>
          </w:p>
        </w:tc>
        <w:tc>
          <w:tcPr>
            <w:tcW w:w="443" w:type="pct"/>
            <w:tcBorders>
              <w:top w:val="single" w:sz="4" w:space="0" w:color="auto"/>
              <w:left w:val="single" w:sz="4" w:space="0" w:color="auto"/>
              <w:bottom w:val="single" w:sz="4" w:space="0" w:color="auto"/>
              <w:right w:val="single" w:sz="4" w:space="0" w:color="auto"/>
            </w:tcBorders>
            <w:vAlign w:val="center"/>
          </w:tcPr>
          <w:p w:rsidR="00A44920" w:rsidRPr="00255E40" w:rsidRDefault="00A44920" w:rsidP="00A44920">
            <w:pPr>
              <w:ind w:firstLine="30"/>
              <w:jc w:val="center"/>
              <w:rPr>
                <w:rFonts w:cs="Times New Roman"/>
                <w:lang w:val="ru-RU"/>
              </w:rPr>
            </w:pPr>
            <w:r>
              <w:rPr>
                <w:rFonts w:cs="Times New Roman"/>
                <w:lang w:val="ru-RU"/>
              </w:rPr>
              <w:t>12771</w:t>
            </w:r>
          </w:p>
        </w:tc>
        <w:tc>
          <w:tcPr>
            <w:tcW w:w="737" w:type="pct"/>
            <w:tcBorders>
              <w:top w:val="single" w:sz="4" w:space="0" w:color="auto"/>
              <w:left w:val="single" w:sz="4" w:space="0" w:color="auto"/>
              <w:bottom w:val="single" w:sz="4" w:space="0" w:color="auto"/>
              <w:right w:val="single" w:sz="4" w:space="0" w:color="auto"/>
            </w:tcBorders>
          </w:tcPr>
          <w:p w:rsidR="00A44920" w:rsidRPr="00B706FB" w:rsidRDefault="00A44920" w:rsidP="00A4492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A44920" w:rsidRPr="00B706FB" w:rsidRDefault="00A44920" w:rsidP="00A44920">
            <w:pPr>
              <w:jc w:val="right"/>
              <w:rPr>
                <w:sz w:val="20"/>
                <w:szCs w:val="20"/>
              </w:rPr>
            </w:pPr>
          </w:p>
        </w:tc>
      </w:tr>
      <w:tr w:rsidR="00A44920"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A44920" w:rsidRDefault="00A44920" w:rsidP="00A44920">
            <w:pPr>
              <w:jc w:val="center"/>
              <w:rPr>
                <w:sz w:val="20"/>
                <w:szCs w:val="20"/>
                <w:lang w:val="ru-RU"/>
              </w:rPr>
            </w:pPr>
            <w:r>
              <w:rPr>
                <w:sz w:val="20"/>
                <w:szCs w:val="20"/>
                <w:lang w:val="ru-RU"/>
              </w:rPr>
              <w:t>2</w:t>
            </w:r>
          </w:p>
        </w:tc>
        <w:tc>
          <w:tcPr>
            <w:tcW w:w="2262" w:type="pct"/>
            <w:tcBorders>
              <w:top w:val="single" w:sz="4" w:space="0" w:color="auto"/>
              <w:left w:val="single" w:sz="4" w:space="0" w:color="auto"/>
              <w:bottom w:val="single" w:sz="4" w:space="0" w:color="auto"/>
              <w:right w:val="single" w:sz="4" w:space="0" w:color="auto"/>
            </w:tcBorders>
            <w:vAlign w:val="center"/>
          </w:tcPr>
          <w:p w:rsidR="00A44920" w:rsidRPr="00085E71" w:rsidRDefault="00A44920" w:rsidP="00A44920">
            <w:pPr>
              <w:rPr>
                <w:lang w:val="ru-RU"/>
              </w:rPr>
            </w:pPr>
            <w:r>
              <w:rPr>
                <w:lang w:val="ru-RU"/>
              </w:rPr>
              <w:t xml:space="preserve">Кирпич керамический М-100 </w:t>
            </w:r>
          </w:p>
        </w:tc>
        <w:tc>
          <w:tcPr>
            <w:tcW w:w="515" w:type="pct"/>
            <w:tcBorders>
              <w:top w:val="single" w:sz="4" w:space="0" w:color="auto"/>
              <w:left w:val="single" w:sz="4" w:space="0" w:color="auto"/>
              <w:bottom w:val="single" w:sz="4" w:space="0" w:color="auto"/>
              <w:right w:val="single" w:sz="4" w:space="0" w:color="auto"/>
            </w:tcBorders>
            <w:vAlign w:val="center"/>
          </w:tcPr>
          <w:p w:rsidR="00A44920" w:rsidRDefault="00A44920" w:rsidP="00A44920">
            <w:pPr>
              <w:jc w:val="center"/>
              <w:rPr>
                <w:sz w:val="20"/>
                <w:szCs w:val="20"/>
                <w:lang w:val="ru-RU"/>
              </w:rPr>
            </w:pPr>
            <w:r>
              <w:rPr>
                <w:sz w:val="20"/>
                <w:szCs w:val="20"/>
                <w:lang w:val="ru-RU"/>
              </w:rPr>
              <w:t>шт.</w:t>
            </w:r>
          </w:p>
        </w:tc>
        <w:tc>
          <w:tcPr>
            <w:tcW w:w="443" w:type="pct"/>
            <w:tcBorders>
              <w:top w:val="single" w:sz="4" w:space="0" w:color="auto"/>
              <w:left w:val="single" w:sz="4" w:space="0" w:color="auto"/>
              <w:bottom w:val="single" w:sz="4" w:space="0" w:color="auto"/>
              <w:right w:val="single" w:sz="4" w:space="0" w:color="auto"/>
            </w:tcBorders>
            <w:vAlign w:val="center"/>
          </w:tcPr>
          <w:p w:rsidR="00A44920" w:rsidRPr="00255E40" w:rsidRDefault="00A44920" w:rsidP="00A44920">
            <w:pPr>
              <w:ind w:firstLine="30"/>
              <w:jc w:val="center"/>
              <w:rPr>
                <w:rFonts w:cs="Times New Roman"/>
                <w:lang w:val="ru-RU"/>
              </w:rPr>
            </w:pPr>
            <w:r>
              <w:rPr>
                <w:rFonts w:cs="Times New Roman"/>
                <w:lang w:val="ru-RU"/>
              </w:rPr>
              <w:t>3528</w:t>
            </w:r>
          </w:p>
        </w:tc>
        <w:tc>
          <w:tcPr>
            <w:tcW w:w="737" w:type="pct"/>
            <w:tcBorders>
              <w:top w:val="single" w:sz="4" w:space="0" w:color="auto"/>
              <w:left w:val="single" w:sz="4" w:space="0" w:color="auto"/>
              <w:bottom w:val="single" w:sz="4" w:space="0" w:color="auto"/>
              <w:right w:val="single" w:sz="4" w:space="0" w:color="auto"/>
            </w:tcBorders>
          </w:tcPr>
          <w:p w:rsidR="00A44920" w:rsidRPr="00B706FB" w:rsidRDefault="00A44920" w:rsidP="00A4492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A44920" w:rsidRPr="00B706FB" w:rsidRDefault="00A44920" w:rsidP="00A449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04" w:rsidRDefault="00CE6604">
      <w:r>
        <w:separator/>
      </w:r>
    </w:p>
  </w:endnote>
  <w:endnote w:type="continuationSeparator" w:id="0">
    <w:p w:rsidR="00CE6604" w:rsidRDefault="00CE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04" w:rsidRDefault="00CE6604">
    <w:pPr>
      <w:pStyle w:val="a7"/>
    </w:pPr>
    <w:r>
      <w:t xml:space="preserve">                                                                                                                                                                                                                                                                                                    </w:t>
    </w:r>
  </w:p>
  <w:p w:rsidR="00CE6604" w:rsidRDefault="00CE6604">
    <w:pPr>
      <w:pStyle w:val="a7"/>
    </w:pPr>
  </w:p>
  <w:p w:rsidR="00CE6604" w:rsidRDefault="00CE6604">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04" w:rsidRDefault="00CE6604">
      <w:r>
        <w:separator/>
      </w:r>
    </w:p>
  </w:footnote>
  <w:footnote w:type="continuationSeparator" w:id="0">
    <w:p w:rsidR="00CE6604" w:rsidRDefault="00CE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04" w:rsidRDefault="00CE66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40713"/>
    <w:rsid w:val="00054B2F"/>
    <w:rsid w:val="00085E71"/>
    <w:rsid w:val="00097A44"/>
    <w:rsid w:val="000F2657"/>
    <w:rsid w:val="00255E40"/>
    <w:rsid w:val="00280AC7"/>
    <w:rsid w:val="00311BDF"/>
    <w:rsid w:val="003171BD"/>
    <w:rsid w:val="0032266D"/>
    <w:rsid w:val="00395DB2"/>
    <w:rsid w:val="004C3F20"/>
    <w:rsid w:val="005552A2"/>
    <w:rsid w:val="006563BB"/>
    <w:rsid w:val="006768C7"/>
    <w:rsid w:val="006E315D"/>
    <w:rsid w:val="00735F2A"/>
    <w:rsid w:val="00785867"/>
    <w:rsid w:val="008869FF"/>
    <w:rsid w:val="00907FF0"/>
    <w:rsid w:val="00A0438B"/>
    <w:rsid w:val="00A44920"/>
    <w:rsid w:val="00A92C72"/>
    <w:rsid w:val="00AA107D"/>
    <w:rsid w:val="00AD2E8A"/>
    <w:rsid w:val="00BA4360"/>
    <w:rsid w:val="00C36444"/>
    <w:rsid w:val="00CE6604"/>
    <w:rsid w:val="00D7076F"/>
    <w:rsid w:val="00DD3CDF"/>
    <w:rsid w:val="00ED6AC9"/>
    <w:rsid w:val="00F145AC"/>
    <w:rsid w:val="00F17FA1"/>
    <w:rsid w:val="00F43E7A"/>
    <w:rsid w:val="00FC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character" w:customStyle="1" w:styleId="icon-help">
    <w:name w:val="icon-help"/>
    <w:basedOn w:val="a0"/>
    <w:rsid w:val="00DD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23">
      <w:bodyDiv w:val="1"/>
      <w:marLeft w:val="0"/>
      <w:marRight w:val="0"/>
      <w:marTop w:val="0"/>
      <w:marBottom w:val="0"/>
      <w:divBdr>
        <w:top w:val="none" w:sz="0" w:space="0" w:color="auto"/>
        <w:left w:val="none" w:sz="0" w:space="0" w:color="auto"/>
        <w:bottom w:val="none" w:sz="0" w:space="0" w:color="auto"/>
        <w:right w:val="none" w:sz="0" w:space="0" w:color="auto"/>
      </w:divBdr>
    </w:div>
    <w:div w:id="9581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24</Pages>
  <Words>7412</Words>
  <Characters>42250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3</cp:revision>
  <dcterms:created xsi:type="dcterms:W3CDTF">2015-08-10T06:00:00Z</dcterms:created>
  <dcterms:modified xsi:type="dcterms:W3CDTF">2015-08-10T11:02:00Z</dcterms:modified>
</cp:coreProperties>
</file>